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E7C10" w14:textId="77777777" w:rsidR="00817736" w:rsidRDefault="00817736">
      <w:pPr>
        <w:autoSpaceDE w:val="0"/>
        <w:autoSpaceDN w:val="0"/>
        <w:spacing w:after="224" w:line="220" w:lineRule="exact"/>
      </w:pPr>
    </w:p>
    <w:p w14:paraId="5D7A2D87" w14:textId="77777777" w:rsidR="00817736" w:rsidRDefault="00817736">
      <w:pPr>
        <w:autoSpaceDE w:val="0"/>
        <w:autoSpaceDN w:val="0"/>
        <w:spacing w:after="0" w:line="16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4"/>
        <w:gridCol w:w="4172"/>
        <w:gridCol w:w="1336"/>
        <w:gridCol w:w="2868"/>
      </w:tblGrid>
      <w:tr w:rsidR="00817736" w14:paraId="2D6A10B4" w14:textId="77777777">
        <w:trPr>
          <w:trHeight w:hRule="exact" w:val="454"/>
        </w:trPr>
        <w:tc>
          <w:tcPr>
            <w:tcW w:w="5206" w:type="dxa"/>
            <w:gridSpan w:val="2"/>
            <w:vMerge w:val="restart"/>
            <w:tcBorders>
              <w:top w:val="single" w:sz="4" w:space="0" w:color="000000"/>
              <w:bottom w:val="single" w:sz="3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3318B54" w14:textId="2A2FCF20" w:rsidR="00817736" w:rsidRDefault="0030603B">
            <w:pPr>
              <w:autoSpaceDE w:val="0"/>
              <w:autoSpaceDN w:val="0"/>
              <w:spacing w:before="54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742473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BAF5F4" w14:textId="77777777" w:rsidR="00817736" w:rsidRDefault="0030603B">
            <w:pPr>
              <w:autoSpaceDE w:val="0"/>
              <w:autoSpaceDN w:val="0"/>
              <w:spacing w:before="102" w:after="0" w:line="266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57A3C5A" w14:textId="1BD725D7" w:rsidR="00817736" w:rsidRDefault="00F90C1A">
            <w:pPr>
              <w:autoSpaceDE w:val="0"/>
              <w:autoSpaceDN w:val="0"/>
              <w:spacing w:before="124" w:after="0" w:line="197" w:lineRule="auto"/>
              <w:ind w:left="100"/>
            </w:pPr>
            <w:r>
              <w:rPr>
                <w:rFonts w:ascii="Calibri" w:eastAsia="Calibri" w:hAnsi="Calibri"/>
                <w:color w:val="000000"/>
                <w:sz w:val="24"/>
              </w:rPr>
              <w:t>QP-4.1-01 V1.0</w:t>
            </w:r>
            <w:r w:rsidR="0030603B">
              <w:rPr>
                <w:rFonts w:ascii="Calibri" w:eastAsia="Calibri" w:hAnsi="Calibri"/>
                <w:color w:val="000000"/>
                <w:sz w:val="24"/>
              </w:rPr>
              <w:t xml:space="preserve"> </w:t>
            </w:r>
          </w:p>
        </w:tc>
      </w:tr>
      <w:tr w:rsidR="00817736" w14:paraId="2BF765BA" w14:textId="77777777">
        <w:trPr>
          <w:trHeight w:hRule="exact" w:val="362"/>
        </w:trPr>
        <w:tc>
          <w:tcPr>
            <w:tcW w:w="4726" w:type="dxa"/>
            <w:gridSpan w:val="2"/>
            <w:vMerge/>
            <w:tcBorders>
              <w:top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590F9238" w14:textId="77777777" w:rsidR="00817736" w:rsidRDefault="00817736"/>
        </w:tc>
        <w:tc>
          <w:tcPr>
            <w:tcW w:w="133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695D76" w14:textId="77777777" w:rsidR="00817736" w:rsidRDefault="0030603B">
            <w:pPr>
              <w:autoSpaceDE w:val="0"/>
              <w:autoSpaceDN w:val="0"/>
              <w:spacing w:before="5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</w:tcBorders>
            <w:tcMar>
              <w:left w:w="0" w:type="dxa"/>
              <w:right w:w="0" w:type="dxa"/>
            </w:tcMar>
          </w:tcPr>
          <w:p w14:paraId="76336004" w14:textId="77777777" w:rsidR="00817736" w:rsidRDefault="0030603B">
            <w:pPr>
              <w:autoSpaceDE w:val="0"/>
              <w:autoSpaceDN w:val="0"/>
              <w:spacing w:before="54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页共</w:t>
            </w:r>
            <w:r>
              <w:rPr>
                <w:rFonts w:ascii="Calibri" w:eastAsia="Calibri" w:hAnsi="Calibri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页</w:t>
            </w:r>
          </w:p>
        </w:tc>
      </w:tr>
      <w:tr w:rsidR="00817736" w14:paraId="735E47CA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06562E" w14:textId="77777777" w:rsidR="00817736" w:rsidRDefault="0030603B">
            <w:pPr>
              <w:autoSpaceDE w:val="0"/>
              <w:autoSpaceDN w:val="0"/>
              <w:spacing w:before="23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2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0724F2BD" w14:textId="77777777" w:rsidR="00817736" w:rsidRDefault="0030603B">
            <w:pPr>
              <w:autoSpaceDE w:val="0"/>
              <w:autoSpaceDN w:val="0"/>
              <w:spacing w:before="10" w:after="0" w:line="310" w:lineRule="exact"/>
              <w:ind w:left="144" w:right="144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保证公正性、公平性、独立性和诚信度的程序</w:t>
            </w:r>
          </w:p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80EFD6" w14:textId="77777777" w:rsidR="00817736" w:rsidRDefault="0030603B">
            <w:pPr>
              <w:autoSpaceDE w:val="0"/>
              <w:autoSpaceDN w:val="0"/>
              <w:spacing w:before="5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86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</w:tcBorders>
            <w:tcMar>
              <w:left w:w="0" w:type="dxa"/>
              <w:right w:w="0" w:type="dxa"/>
            </w:tcMar>
          </w:tcPr>
          <w:p w14:paraId="007DC0E8" w14:textId="7506359B" w:rsidR="00817736" w:rsidRDefault="00F90C1A">
            <w:pPr>
              <w:autoSpaceDE w:val="0"/>
              <w:autoSpaceDN w:val="0"/>
              <w:spacing w:before="56" w:after="0" w:line="266" w:lineRule="exact"/>
              <w:ind w:left="220"/>
            </w:pPr>
            <w:r>
              <w:rPr>
                <w:rFonts w:ascii="Calibri" w:eastAsia="Calibri" w:hAnsi="Calibri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Calibri" w:eastAsia="Calibri" w:hAnsi="Calibri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817736" w14:paraId="093A5521" w14:textId="77777777">
        <w:trPr>
          <w:trHeight w:hRule="exact" w:val="364"/>
        </w:trPr>
        <w:tc>
          <w:tcPr>
            <w:tcW w:w="2363" w:type="dxa"/>
            <w:vMerge/>
            <w:tcBorders>
              <w:top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2F5037A" w14:textId="77777777" w:rsidR="00817736" w:rsidRDefault="00817736"/>
        </w:tc>
        <w:tc>
          <w:tcPr>
            <w:tcW w:w="2363" w:type="dxa"/>
            <w:vMerge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931E57" w14:textId="77777777" w:rsidR="00817736" w:rsidRDefault="00817736"/>
        </w:tc>
        <w:tc>
          <w:tcPr>
            <w:tcW w:w="1336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FF99DF" w14:textId="77777777" w:rsidR="00817736" w:rsidRDefault="0030603B">
            <w:pPr>
              <w:autoSpaceDE w:val="0"/>
              <w:autoSpaceDN w:val="0"/>
              <w:spacing w:before="5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86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2BEB534" w14:textId="77777777" w:rsidR="00817736" w:rsidRDefault="0030603B">
            <w:pPr>
              <w:autoSpaceDE w:val="0"/>
              <w:autoSpaceDN w:val="0"/>
              <w:spacing w:before="56" w:after="0" w:line="240" w:lineRule="exact"/>
              <w:ind w:left="220"/>
            </w:pPr>
            <w:r>
              <w:rPr>
                <w:rFonts w:ascii="宋体" w:eastAsia="宋体" w:hAnsi="宋体"/>
                <w:color w:val="000000"/>
                <w:sz w:val="24"/>
              </w:rPr>
              <w:t>年月日第次修改</w:t>
            </w:r>
          </w:p>
        </w:tc>
      </w:tr>
    </w:tbl>
    <w:p w14:paraId="1DE09048" w14:textId="08A72D48" w:rsidR="00817736" w:rsidRDefault="0030603B">
      <w:pPr>
        <w:tabs>
          <w:tab w:val="left" w:pos="366"/>
        </w:tabs>
        <w:autoSpaceDE w:val="0"/>
        <w:autoSpaceDN w:val="0"/>
        <w:spacing w:before="2" w:after="0" w:line="342" w:lineRule="exact"/>
        <w:ind w:left="6"/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/>
          <w:color w:val="000000"/>
          <w:sz w:val="24"/>
        </w:rPr>
        <w:t>目的：</w:t>
      </w:r>
      <w:r w:rsidR="00BB0F9C">
        <w:rPr>
          <w:rFonts w:ascii="宋体" w:eastAsia="宋体" w:hAnsi="宋体"/>
          <w:color w:val="000000"/>
          <w:sz w:val="24"/>
        </w:rPr>
        <w:t>确保实验室公正地实施检测活动，识别、记录并消除或尽可能减小可能对公正性产生影响的因素，符合ISO/IEC 17025:2017第4.1条款要求。</w:t>
      </w:r>
    </w:p>
    <w:p w14:paraId="4B0BE3F6" w14:textId="77777777" w:rsidR="00817736" w:rsidRDefault="0030603B">
      <w:pPr>
        <w:autoSpaceDE w:val="0"/>
        <w:autoSpaceDN w:val="0"/>
        <w:spacing w:before="396" w:after="0" w:line="340" w:lineRule="exact"/>
        <w:ind w:left="6" w:right="6192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/>
          <w:color w:val="000000"/>
          <w:sz w:val="24"/>
        </w:rPr>
        <w:t>范围</w:t>
      </w:r>
      <w:r>
        <w:br/>
      </w:r>
      <w:r>
        <w:rPr>
          <w:rFonts w:ascii="宋体" w:eastAsia="宋体" w:hAnsi="宋体"/>
          <w:color w:val="000000"/>
          <w:sz w:val="24"/>
        </w:rPr>
        <w:t>适用于检测工作的各个环节。</w:t>
      </w:r>
    </w:p>
    <w:p w14:paraId="22352AFD" w14:textId="17548924" w:rsidR="00817736" w:rsidRDefault="0030603B">
      <w:pPr>
        <w:autoSpaceDE w:val="0"/>
        <w:autoSpaceDN w:val="0"/>
        <w:spacing w:before="374" w:after="0" w:line="360" w:lineRule="exact"/>
        <w:ind w:left="6" w:right="3024"/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/>
          <w:color w:val="000000"/>
          <w:sz w:val="24"/>
        </w:rPr>
        <w:t>职责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3.1</w:t>
      </w:r>
      <w:r>
        <w:rPr>
          <w:rFonts w:ascii="宋体" w:eastAsia="宋体" w:hAnsi="宋体"/>
          <w:color w:val="000000"/>
          <w:sz w:val="24"/>
        </w:rPr>
        <w:t xml:space="preserve"> </w:t>
      </w:r>
      <w:r w:rsidR="00C05BE7">
        <w:rPr>
          <w:rFonts w:ascii="宋体" w:eastAsia="宋体" w:hAnsi="宋体"/>
          <w:color w:val="000000"/>
          <w:sz w:val="24"/>
        </w:rPr>
        <w:t>实验室经理（最高管理者）对实验室活动的公正性作出承诺并提供持续支持；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3.2 </w:t>
      </w:r>
      <w:r w:rsidR="00BB0F9C">
        <w:rPr>
          <w:rFonts w:ascii="宋体" w:eastAsia="宋体" w:hAnsi="宋体" w:cs="宋体" w:hint="eastAsia"/>
          <w:color w:val="000000"/>
          <w:sz w:val="24"/>
        </w:rPr>
        <w:t>质量负责人组织识别公正性风险并评估、控制；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3.3 </w:t>
      </w:r>
      <w:r w:rsidR="00BB0F9C">
        <w:rPr>
          <w:rFonts w:ascii="宋体" w:eastAsia="宋体" w:hAnsi="宋体" w:cs="宋体" w:hint="eastAsia"/>
          <w:color w:val="000000"/>
          <w:sz w:val="24"/>
        </w:rPr>
        <w:t>监督员负责日常检测过程中公正性状况的监督检查；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3.4 </w:t>
      </w:r>
      <w:r w:rsidR="00BB0F9C">
        <w:rPr>
          <w:rFonts w:ascii="宋体" w:eastAsia="宋体" w:hAnsi="宋体" w:cs="宋体" w:hint="eastAsia"/>
          <w:color w:val="000000"/>
          <w:sz w:val="24"/>
        </w:rPr>
        <w:t>全体员工保持客观公正，识别并报告可能影响公正性的因素。</w:t>
      </w:r>
    </w:p>
    <w:p w14:paraId="6CBEDE7C" w14:textId="657D4585" w:rsidR="00817736" w:rsidRDefault="0030603B">
      <w:pPr>
        <w:autoSpaceDE w:val="0"/>
        <w:autoSpaceDN w:val="0"/>
        <w:spacing w:before="360" w:after="0" w:line="358" w:lineRule="exact"/>
        <w:ind w:left="6"/>
      </w:pPr>
      <w:r>
        <w:rPr>
          <w:rFonts w:ascii="Times New Roman" w:eastAsia="Times New Roman" w:hAnsi="Times New Roman"/>
          <w:color w:val="000000"/>
          <w:sz w:val="24"/>
        </w:rPr>
        <w:t>4.</w:t>
      </w:r>
      <w:r>
        <w:rPr>
          <w:rFonts w:ascii="宋体" w:eastAsia="宋体" w:hAnsi="宋体"/>
          <w:color w:val="000000"/>
          <w:sz w:val="24"/>
        </w:rPr>
        <w:t>工作程序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4.1 </w:t>
      </w:r>
      <w:r w:rsidR="00BB0F9C">
        <w:rPr>
          <w:rFonts w:ascii="宋体" w:eastAsia="宋体" w:hAnsi="宋体" w:cs="宋体" w:hint="eastAsia"/>
          <w:color w:val="000000"/>
          <w:sz w:val="24"/>
        </w:rPr>
        <w:t>公正性承诺：实验室经理在《质量手册》中作出公正性声明，承诺实验室活动公正进行（详见《质量手册》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4.1 </w:t>
      </w:r>
      <w:r w:rsidR="00BB0F9C">
        <w:rPr>
          <w:rFonts w:ascii="宋体" w:eastAsia="宋体" w:hAnsi="宋体" w:cs="宋体" w:hint="eastAsia"/>
          <w:color w:val="000000"/>
          <w:sz w:val="24"/>
        </w:rPr>
        <w:t>公正性条款）。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4.2 </w:t>
      </w:r>
      <w:r w:rsidR="00BB0F9C">
        <w:rPr>
          <w:rFonts w:ascii="宋体" w:eastAsia="宋体" w:hAnsi="宋体" w:cs="宋体" w:hint="eastAsia"/>
          <w:color w:val="000000"/>
          <w:sz w:val="24"/>
        </w:rPr>
        <w:t>公正性风险识别：实验室应持续识别影响其公正性的风险，包括但不限于：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a) </w:t>
      </w:r>
      <w:r w:rsidR="00BB0F9C">
        <w:rPr>
          <w:rFonts w:ascii="宋体" w:eastAsia="宋体" w:hAnsi="宋体" w:cs="宋体" w:hint="eastAsia"/>
          <w:color w:val="000000"/>
          <w:sz w:val="24"/>
        </w:rPr>
        <w:t>自身活动产生的利益冲突；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b) </w:t>
      </w:r>
      <w:r w:rsidR="00BB0F9C">
        <w:rPr>
          <w:rFonts w:ascii="宋体" w:eastAsia="宋体" w:hAnsi="宋体" w:cs="宋体" w:hint="eastAsia"/>
          <w:color w:val="000000"/>
          <w:sz w:val="24"/>
        </w:rPr>
        <w:t>各种形式的商业、财务、内外部压力；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c) </w:t>
      </w:r>
      <w:r w:rsidR="00BB0F9C">
        <w:rPr>
          <w:rFonts w:ascii="宋体" w:eastAsia="宋体" w:hAnsi="宋体" w:cs="宋体" w:hint="eastAsia"/>
          <w:color w:val="000000"/>
          <w:sz w:val="24"/>
        </w:rPr>
        <w:t>人员关系对判断独立性的影响；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d) </w:t>
      </w:r>
      <w:r w:rsidR="00BB0F9C">
        <w:rPr>
          <w:rFonts w:ascii="宋体" w:eastAsia="宋体" w:hAnsi="宋体" w:cs="宋体" w:hint="eastAsia"/>
          <w:color w:val="000000"/>
          <w:sz w:val="24"/>
        </w:rPr>
        <w:t>来自母体组织或外部的不当干预。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4.3 </w:t>
      </w:r>
      <w:r w:rsidR="00BB0F9C">
        <w:rPr>
          <w:rFonts w:ascii="宋体" w:eastAsia="宋体" w:hAnsi="宋体" w:cs="宋体" w:hint="eastAsia"/>
          <w:color w:val="000000"/>
          <w:sz w:val="24"/>
        </w:rPr>
        <w:t>风险控制：对识别出的公正性风险，实验室应记录并采取消除或尽可能减小的措施，相关风险的识别与应对按《风险和机遇识别与应对程序》（</w:t>
      </w:r>
      <w:r w:rsidR="00BB0F9C">
        <w:rPr>
          <w:rFonts w:ascii="Times New Roman" w:eastAsia="Times New Roman" w:hAnsi="Times New Roman"/>
          <w:color w:val="000000"/>
          <w:sz w:val="24"/>
        </w:rPr>
        <w:t>QP-8.5-01</w:t>
      </w:r>
      <w:r w:rsidR="00BB0F9C">
        <w:rPr>
          <w:rFonts w:ascii="宋体" w:eastAsia="宋体" w:hAnsi="宋体" w:cs="宋体" w:hint="eastAsia"/>
          <w:color w:val="000000"/>
          <w:sz w:val="24"/>
        </w:rPr>
        <w:t>）执行。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4.4 </w:t>
      </w:r>
      <w:r w:rsidR="00BB0F9C">
        <w:rPr>
          <w:rFonts w:ascii="宋体" w:eastAsia="宋体" w:hAnsi="宋体" w:cs="宋体" w:hint="eastAsia"/>
          <w:color w:val="000000"/>
          <w:sz w:val="24"/>
        </w:rPr>
        <w:t>组织结构独立性：实验室作为江苏东成机电工具有限公司的一部分，其在母体组织中的结构、责任在《组织结构与岗位职责管理程序》（</w:t>
      </w:r>
      <w:r w:rsidR="00BB0F9C">
        <w:rPr>
          <w:rFonts w:ascii="Times New Roman" w:eastAsia="Times New Roman" w:hAnsi="Times New Roman"/>
          <w:color w:val="000000"/>
          <w:sz w:val="24"/>
        </w:rPr>
        <w:t>QP-5.2-01</w:t>
      </w:r>
      <w:r w:rsidR="00BB0F9C">
        <w:rPr>
          <w:rFonts w:ascii="宋体" w:eastAsia="宋体" w:hAnsi="宋体" w:cs="宋体" w:hint="eastAsia"/>
          <w:color w:val="000000"/>
          <w:sz w:val="24"/>
        </w:rPr>
        <w:t>）和质量手册中予以明确，以避免利益冲突；最高管理者不得以任何方式干预实验室活动的公正实施。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4.5 </w:t>
      </w:r>
      <w:r w:rsidR="00BB0F9C">
        <w:rPr>
          <w:rFonts w:ascii="宋体" w:eastAsia="宋体" w:hAnsi="宋体" w:cs="宋体" w:hint="eastAsia"/>
          <w:color w:val="000000"/>
          <w:sz w:val="24"/>
        </w:rPr>
        <w:t>持续监控：质量负责人每年至少一次组织对公正性风险的复审，识别新的风险并更新控制措施；监督员在日常检测中持续监督公正性执行情况。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4.6 </w:t>
      </w:r>
      <w:r w:rsidR="00BB0F9C">
        <w:rPr>
          <w:rFonts w:ascii="宋体" w:eastAsia="宋体" w:hAnsi="宋体" w:cs="宋体" w:hint="eastAsia"/>
          <w:color w:val="000000"/>
          <w:sz w:val="24"/>
        </w:rPr>
        <w:t>检测人员行为规范：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a) </w:t>
      </w:r>
      <w:r w:rsidR="00BB0F9C">
        <w:rPr>
          <w:rFonts w:ascii="宋体" w:eastAsia="宋体" w:hAnsi="宋体" w:cs="宋体" w:hint="eastAsia"/>
          <w:color w:val="000000"/>
          <w:sz w:val="24"/>
        </w:rPr>
        <w:t>不得参与任何损害判断独立性和检测诚信度的活动；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b) </w:t>
      </w:r>
      <w:r w:rsidR="00BB0F9C">
        <w:rPr>
          <w:rFonts w:ascii="宋体" w:eastAsia="宋体" w:hAnsi="宋体" w:cs="宋体" w:hint="eastAsia"/>
          <w:color w:val="000000"/>
          <w:sz w:val="24"/>
        </w:rPr>
        <w:t>测试报告正式发出前，不得随意发表与该项目结论有关的言论，不得向其他客户透露与其无关的检测信息；</w:t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c) </w:t>
      </w:r>
      <w:r w:rsidR="00BB0F9C">
        <w:rPr>
          <w:rFonts w:ascii="宋体" w:eastAsia="宋体" w:hAnsi="宋体" w:cs="宋体" w:hint="eastAsia"/>
          <w:color w:val="000000"/>
          <w:sz w:val="24"/>
        </w:rPr>
        <w:t>客户未经技术负责人批准，不得观看涉及其保密的检测工作或查阅检测资料，也不得观看其他客户的检测工作或查阅其检测资料。</w:t>
      </w:r>
      <w:r>
        <w:br/>
      </w:r>
      <w:r w:rsidR="00BB0F9C">
        <w:rPr>
          <w:rFonts w:ascii="Times New Roman" w:eastAsia="Times New Roman" w:hAnsi="Times New Roman"/>
          <w:color w:val="000000"/>
          <w:sz w:val="24"/>
        </w:rPr>
        <w:t xml:space="preserve">4.7 </w:t>
      </w:r>
      <w:r w:rsidR="00BB0F9C">
        <w:rPr>
          <w:rFonts w:ascii="宋体" w:eastAsia="宋体" w:hAnsi="宋体" w:cs="宋体" w:hint="eastAsia"/>
          <w:color w:val="000000"/>
          <w:sz w:val="24"/>
        </w:rPr>
        <w:t>违规处理：对违反公正性规定的活动，由质量负责人组织调查，提出处理意见上报实验室经理处理，并按《不符合工作控制程序》（</w:t>
      </w:r>
      <w:r w:rsidR="00BB0F9C">
        <w:rPr>
          <w:rFonts w:ascii="Times New Roman" w:eastAsia="Times New Roman" w:hAnsi="Times New Roman"/>
          <w:color w:val="000000"/>
          <w:sz w:val="24"/>
        </w:rPr>
        <w:t>QP-7.10-01</w:t>
      </w:r>
      <w:r w:rsidR="00BB0F9C">
        <w:rPr>
          <w:rFonts w:ascii="宋体" w:eastAsia="宋体" w:hAnsi="宋体" w:cs="宋体" w:hint="eastAsia"/>
          <w:color w:val="000000"/>
          <w:sz w:val="24"/>
        </w:rPr>
        <w:t>）和《风险机遇应对与纠正措施程序》（</w:t>
      </w:r>
      <w:r w:rsidR="00BB0F9C">
        <w:rPr>
          <w:rFonts w:ascii="Times New Roman" w:eastAsia="Times New Roman" w:hAnsi="Times New Roman"/>
          <w:color w:val="000000"/>
          <w:sz w:val="24"/>
        </w:rPr>
        <w:t>QP-8.5-8.7-01</w:t>
      </w:r>
      <w:r w:rsidR="00BB0F9C">
        <w:rPr>
          <w:rFonts w:ascii="宋体" w:eastAsia="宋体" w:hAnsi="宋体" w:cs="宋体" w:hint="eastAsia"/>
          <w:color w:val="000000"/>
          <w:sz w:val="24"/>
        </w:rPr>
        <w:t>）采取纠正措施。</w:t>
      </w:r>
      <w:r>
        <w:br/>
      </w:r>
    </w:p>
    <w:p w14:paraId="716A2C30" w14:textId="7CFCE269" w:rsidR="00817736" w:rsidRDefault="0030603B">
      <w:pPr>
        <w:tabs>
          <w:tab w:val="left" w:pos="6308"/>
        </w:tabs>
        <w:autoSpaceDE w:val="0"/>
        <w:autoSpaceDN w:val="0"/>
        <w:spacing w:before="360" w:after="1118" w:line="358" w:lineRule="exact"/>
        <w:ind w:left="6" w:right="2160"/>
      </w:pPr>
      <w:r>
        <w:rPr>
          <w:rFonts w:ascii="Times New Roman" w:eastAsia="Times New Roman" w:hAnsi="Times New Roman"/>
          <w:color w:val="000000"/>
          <w:sz w:val="24"/>
        </w:rPr>
        <w:lastRenderedPageBreak/>
        <w:t>5.</w:t>
      </w:r>
      <w:r>
        <w:rPr>
          <w:rFonts w:ascii="宋体" w:eastAsia="宋体" w:hAnsi="宋体"/>
          <w:color w:val="000000"/>
          <w:sz w:val="24"/>
        </w:rPr>
        <w:t>相关文件</w:t>
      </w:r>
      <w:r>
        <w:br/>
      </w:r>
      <w:r w:rsidR="00BB0F9C">
        <w:rPr>
          <w:rFonts w:ascii="宋体" w:eastAsia="宋体" w:hAnsi="宋体"/>
          <w:color w:val="000000"/>
          <w:sz w:val="24"/>
        </w:rPr>
        <w:t>《质量手册》4.1 公正性；《组织结构与岗位职责管理程序》QP-5.2-01；《风险和机遇识别与应对程序》QP-8.5-01；《不符合工作控制程序》QP-7.10-01；《风险机遇应对与纠正措施程序》QP-8.5-8.7-01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817736" w14:paraId="1F30C754" w14:textId="77777777">
        <w:trPr>
          <w:trHeight w:hRule="exact" w:val="466"/>
        </w:trPr>
        <w:tc>
          <w:tcPr>
            <w:tcW w:w="85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2E1212" w14:textId="77777777" w:rsidR="00817736" w:rsidRDefault="0030603B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7EDEB" w14:textId="77777777" w:rsidR="00817736" w:rsidRDefault="0030603B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056FFA9" wp14:editId="749AC36B">
                  <wp:extent cx="604520" cy="2387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F1EBF" w14:textId="77777777" w:rsidR="00817736" w:rsidRDefault="0030603B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7B5F14" w14:textId="77777777" w:rsidR="00817736" w:rsidRDefault="0030603B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7047D595" wp14:editId="0ED99CC2">
                  <wp:extent cx="793749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FB4601" w14:textId="77777777" w:rsidR="00817736" w:rsidRDefault="0030603B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4BB94FA2" w14:textId="77777777" w:rsidR="00817736" w:rsidRDefault="0030603B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4D5F7A0B" wp14:editId="62D9E158">
                  <wp:extent cx="580389" cy="29591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7736" w14:paraId="4AAAB59D" w14:textId="77777777">
        <w:trPr>
          <w:trHeight w:hRule="exact" w:val="444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BB450" w14:textId="77777777" w:rsidR="00817736" w:rsidRDefault="0030603B">
            <w:pPr>
              <w:autoSpaceDE w:val="0"/>
              <w:autoSpaceDN w:val="0"/>
              <w:spacing w:before="10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212FE3" w14:textId="576DBECA" w:rsidR="00817736" w:rsidRDefault="00F90C1A">
            <w:pPr>
              <w:autoSpaceDE w:val="0"/>
              <w:autoSpaceDN w:val="0"/>
              <w:spacing w:before="9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30603B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36F49A" w14:textId="77777777" w:rsidR="00817736" w:rsidRDefault="0030603B">
            <w:pPr>
              <w:autoSpaceDE w:val="0"/>
              <w:autoSpaceDN w:val="0"/>
              <w:spacing w:before="10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28951" w14:textId="4BA77A71" w:rsidR="00817736" w:rsidRDefault="00F90C1A">
            <w:pPr>
              <w:autoSpaceDE w:val="0"/>
              <w:autoSpaceDN w:val="0"/>
              <w:spacing w:before="9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30603B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6ACC4E" w14:textId="77777777" w:rsidR="00817736" w:rsidRDefault="0030603B">
            <w:pPr>
              <w:autoSpaceDE w:val="0"/>
              <w:autoSpaceDN w:val="0"/>
              <w:spacing w:before="104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62CAB0C" w14:textId="7152D93B" w:rsidR="00817736" w:rsidRDefault="00F90C1A">
            <w:pPr>
              <w:autoSpaceDE w:val="0"/>
              <w:autoSpaceDN w:val="0"/>
              <w:spacing w:before="96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30603B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1206221A" w14:textId="77777777" w:rsidR="00817736" w:rsidRDefault="00817736">
      <w:pPr>
        <w:autoSpaceDE w:val="0"/>
        <w:autoSpaceDN w:val="0"/>
        <w:spacing w:after="0" w:line="14" w:lineRule="exact"/>
      </w:pPr>
    </w:p>
    <w:sectPr w:rsidR="00817736" w:rsidSect="00034616">
      <w:pgSz w:w="12240" w:h="15840"/>
      <w:pgMar w:top="444" w:right="1376" w:bottom="828" w:left="14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46010" w14:textId="77777777" w:rsidR="00A22995" w:rsidRDefault="00A22995" w:rsidP="00F90C1A">
      <w:pPr>
        <w:spacing w:after="0" w:line="240" w:lineRule="auto"/>
      </w:pPr>
      <w:r>
        <w:separator/>
      </w:r>
    </w:p>
  </w:endnote>
  <w:endnote w:type="continuationSeparator" w:id="0">
    <w:p w14:paraId="79D31FAE" w14:textId="77777777" w:rsidR="00A22995" w:rsidRDefault="00A22995" w:rsidP="00F90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FC92" w14:textId="77777777" w:rsidR="00A22995" w:rsidRDefault="00A22995" w:rsidP="00F90C1A">
      <w:pPr>
        <w:spacing w:after="0" w:line="240" w:lineRule="auto"/>
      </w:pPr>
      <w:r>
        <w:separator/>
      </w:r>
    </w:p>
  </w:footnote>
  <w:footnote w:type="continuationSeparator" w:id="0">
    <w:p w14:paraId="504D40ED" w14:textId="77777777" w:rsidR="00A22995" w:rsidRDefault="00A22995" w:rsidP="00F90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793147">
    <w:abstractNumId w:val="8"/>
  </w:num>
  <w:num w:numId="2" w16cid:durableId="1414623743">
    <w:abstractNumId w:val="6"/>
  </w:num>
  <w:num w:numId="3" w16cid:durableId="1422868436">
    <w:abstractNumId w:val="5"/>
  </w:num>
  <w:num w:numId="4" w16cid:durableId="248391020">
    <w:abstractNumId w:val="4"/>
  </w:num>
  <w:num w:numId="5" w16cid:durableId="1090614257">
    <w:abstractNumId w:val="7"/>
  </w:num>
  <w:num w:numId="6" w16cid:durableId="841241707">
    <w:abstractNumId w:val="3"/>
  </w:num>
  <w:num w:numId="7" w16cid:durableId="114107973">
    <w:abstractNumId w:val="2"/>
  </w:num>
  <w:num w:numId="8" w16cid:durableId="1431202341">
    <w:abstractNumId w:val="1"/>
  </w:num>
  <w:num w:numId="9" w16cid:durableId="133811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C92"/>
    <w:rsid w:val="0015074B"/>
    <w:rsid w:val="0029639D"/>
    <w:rsid w:val="0030603B"/>
    <w:rsid w:val="00310205"/>
    <w:rsid w:val="00326F90"/>
    <w:rsid w:val="00742473"/>
    <w:rsid w:val="007E1423"/>
    <w:rsid w:val="00817736"/>
    <w:rsid w:val="00A22995"/>
    <w:rsid w:val="00AA1D8D"/>
    <w:rsid w:val="00B47730"/>
    <w:rsid w:val="00BB0F9C"/>
    <w:rsid w:val="00C05BE7"/>
    <w:rsid w:val="00CB0664"/>
    <w:rsid w:val="00D04082"/>
    <w:rsid w:val="00E71154"/>
    <w:rsid w:val="00F90C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63DDCB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5</cp:revision>
  <dcterms:created xsi:type="dcterms:W3CDTF">2013-12-23T23:15:00Z</dcterms:created>
  <dcterms:modified xsi:type="dcterms:W3CDTF">2026-08-31T01:35:00Z</dcterms:modified>
  <cp:category/>
</cp:coreProperties>
</file>